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F52" w14:textId="0FA1730D" w:rsidR="006270DC" w:rsidRPr="00CE603D" w:rsidRDefault="006270DC" w:rsidP="004D1E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HDX:</w:t>
      </w:r>
      <w:r w:rsidRPr="00CE603D">
        <w:rPr>
          <w:sz w:val="24"/>
          <w:szCs w:val="24"/>
        </w:rPr>
        <w:t xml:space="preserve"> Plan/Payer Assignment order will automatically allocate the Plan/Payer in the order that the HDX response comes back. </w:t>
      </w:r>
      <w:r w:rsidR="00D6799D" w:rsidRPr="00CE603D">
        <w:rPr>
          <w:sz w:val="24"/>
          <w:szCs w:val="24"/>
        </w:rPr>
        <w:t>Users</w:t>
      </w:r>
      <w:r w:rsidRPr="00CE603D">
        <w:rPr>
          <w:sz w:val="24"/>
          <w:szCs w:val="24"/>
        </w:rPr>
        <w:t xml:space="preserve"> will still need to review the insurance to ensure the policies are in </w:t>
      </w:r>
      <w:r w:rsidR="00D6799D" w:rsidRPr="00CE603D">
        <w:rPr>
          <w:sz w:val="24"/>
          <w:szCs w:val="24"/>
        </w:rPr>
        <w:t>correct</w:t>
      </w:r>
      <w:r w:rsidRPr="00CE603D">
        <w:rPr>
          <w:sz w:val="24"/>
          <w:szCs w:val="24"/>
        </w:rPr>
        <w:t xml:space="preserve"> order</w:t>
      </w:r>
      <w:r w:rsidR="00DA4FE3" w:rsidRPr="00CE603D">
        <w:rPr>
          <w:sz w:val="24"/>
          <w:szCs w:val="24"/>
        </w:rPr>
        <w:t xml:space="preserve"> for Coordination of Benefits (COB).</w:t>
      </w:r>
    </w:p>
    <w:p w14:paraId="07E53342" w14:textId="28265F4A" w:rsidR="00E55EB2" w:rsidRPr="00CE603D" w:rsidRDefault="00E55EB2" w:rsidP="00E55EB2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 w:rsidRPr="00CE603D">
        <w:rPr>
          <w:i/>
          <w:iCs/>
          <w:sz w:val="24"/>
          <w:szCs w:val="24"/>
        </w:rPr>
        <w:t>For example, if Mainecare response comes back first, Mainecare will appear as the primary insurance which needs to be corrected.</w:t>
      </w:r>
    </w:p>
    <w:p w14:paraId="692D8634" w14:textId="77777777" w:rsidR="00685E19" w:rsidRPr="00CE603D" w:rsidRDefault="006270DC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Mainecare</w:t>
      </w:r>
      <w:r w:rsidR="00685E19" w:rsidRPr="00CE603D">
        <w:rPr>
          <w:b/>
          <w:bCs/>
          <w:sz w:val="24"/>
          <w:szCs w:val="24"/>
          <w:u w:val="single"/>
        </w:rPr>
        <w:t>:</w:t>
      </w:r>
    </w:p>
    <w:p w14:paraId="412A3C93" w14:textId="775E4F67" w:rsidR="006270DC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Mainecare</w:t>
      </w:r>
      <w:r w:rsidR="006270DC" w:rsidRPr="00CE603D">
        <w:rPr>
          <w:sz w:val="24"/>
          <w:szCs w:val="24"/>
        </w:rPr>
        <w:t xml:space="preserve"> is always </w:t>
      </w:r>
      <w:r w:rsidR="00F2048D" w:rsidRPr="00CE603D">
        <w:rPr>
          <w:sz w:val="24"/>
          <w:szCs w:val="24"/>
        </w:rPr>
        <w:t>allocated</w:t>
      </w:r>
      <w:r w:rsidR="006270DC" w:rsidRPr="00CE603D">
        <w:rPr>
          <w:sz w:val="24"/>
          <w:szCs w:val="24"/>
        </w:rPr>
        <w:t xml:space="preserve"> last.  </w:t>
      </w:r>
    </w:p>
    <w:p w14:paraId="2F798F67" w14:textId="77777777" w:rsidR="00685E19" w:rsidRPr="00CE603D" w:rsidRDefault="00685E19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No Insurance:</w:t>
      </w:r>
    </w:p>
    <w:p w14:paraId="70040601" w14:textId="7034AA63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Please select only </w:t>
      </w:r>
      <w:r w:rsidRPr="00CE603D">
        <w:rPr>
          <w:i/>
          <w:iCs/>
          <w:sz w:val="24"/>
          <w:szCs w:val="24"/>
          <w:u w:val="single"/>
        </w:rPr>
        <w:t xml:space="preserve">one </w:t>
      </w:r>
      <w:r w:rsidRPr="00CE603D">
        <w:rPr>
          <w:sz w:val="24"/>
          <w:szCs w:val="24"/>
        </w:rPr>
        <w:t>indicator per encounter if no insurance information presented/available:</w:t>
      </w:r>
    </w:p>
    <w:p w14:paraId="1584FDC7" w14:textId="5AD588C6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Pt has no insurance</w:t>
      </w:r>
      <w:r w:rsidRPr="00CE603D">
        <w:rPr>
          <w:sz w:val="24"/>
          <w:szCs w:val="24"/>
        </w:rPr>
        <w:t xml:space="preserve"> = Use when the patient truly does not have insurance (remember Free Care and Kennebec Access to Care are</w:t>
      </w:r>
      <w:r w:rsidR="00F2048D" w:rsidRPr="00CE603D">
        <w:rPr>
          <w:sz w:val="24"/>
          <w:szCs w:val="24"/>
        </w:rPr>
        <w:t xml:space="preserve"> </w:t>
      </w:r>
      <w:r w:rsidRPr="00CE603D">
        <w:rPr>
          <w:sz w:val="24"/>
          <w:szCs w:val="24"/>
        </w:rPr>
        <w:t>not insurance)</w:t>
      </w:r>
    </w:p>
    <w:p w14:paraId="2A087A62" w14:textId="77777777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Make Encounter Self-Pay</w:t>
      </w:r>
      <w:r w:rsidRPr="00CE603D">
        <w:rPr>
          <w:sz w:val="24"/>
          <w:szCs w:val="24"/>
        </w:rPr>
        <w:t xml:space="preserve"> = Use when the patient has insurance but isn't using it for the encounter or when an organizational Guarantor is being used.</w:t>
      </w:r>
    </w:p>
    <w:p w14:paraId="224BD932" w14:textId="5D5670A7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Additional Health Plans Expected</w:t>
      </w:r>
      <w:r w:rsidRPr="00CE603D">
        <w:rPr>
          <w:sz w:val="24"/>
          <w:szCs w:val="24"/>
        </w:rPr>
        <w:t xml:space="preserve"> = Use when the patient has insurance, but they do not have the information with them to create the payer health plan.</w:t>
      </w:r>
    </w:p>
    <w:p w14:paraId="6A9C8F6F" w14:textId="52D8139A" w:rsidR="006270DC" w:rsidRPr="00CE603D" w:rsidRDefault="006270DC" w:rsidP="00EE75BB">
      <w:pPr>
        <w:pStyle w:val="ListParagraph"/>
        <w:numPr>
          <w:ilvl w:val="3"/>
          <w:numId w:val="1"/>
        </w:numPr>
        <w:spacing w:before="240"/>
        <w:rPr>
          <w:i/>
          <w:iCs/>
          <w:sz w:val="24"/>
          <w:szCs w:val="24"/>
        </w:rPr>
      </w:pPr>
      <w:r w:rsidRPr="00CE603D">
        <w:rPr>
          <w:i/>
          <w:iCs/>
          <w:sz w:val="24"/>
          <w:szCs w:val="24"/>
        </w:rPr>
        <w:t>Make sure there is a comment when Additional Health Plans Expected is used.</w:t>
      </w:r>
    </w:p>
    <w:p w14:paraId="4DCE5770" w14:textId="77777777" w:rsidR="00685E19" w:rsidRPr="00CE603D" w:rsidRDefault="006270DC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EBPA</w:t>
      </w:r>
      <w:r w:rsidR="00685E19" w:rsidRPr="00CE603D">
        <w:rPr>
          <w:b/>
          <w:bCs/>
          <w:sz w:val="24"/>
          <w:szCs w:val="24"/>
          <w:u w:val="single"/>
        </w:rPr>
        <w:t>:</w:t>
      </w:r>
    </w:p>
    <w:p w14:paraId="42201B5C" w14:textId="4CB22BBC" w:rsidR="006270DC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EBPA</w:t>
      </w:r>
      <w:r w:rsidR="006270DC" w:rsidRPr="00CE603D">
        <w:rPr>
          <w:sz w:val="24"/>
          <w:szCs w:val="24"/>
        </w:rPr>
        <w:t xml:space="preserve"> policies for Maine General employees need to be created as </w:t>
      </w:r>
      <w:r w:rsidR="00D6799D" w:rsidRPr="00CE603D">
        <w:rPr>
          <w:sz w:val="24"/>
          <w:szCs w:val="24"/>
        </w:rPr>
        <w:t>“</w:t>
      </w:r>
      <w:r w:rsidR="006270DC" w:rsidRPr="00CE603D">
        <w:rPr>
          <w:sz w:val="24"/>
          <w:szCs w:val="24"/>
        </w:rPr>
        <w:t>EBPA Anthem MG Employees.</w:t>
      </w:r>
      <w:r w:rsidR="00D6799D" w:rsidRPr="00CE603D">
        <w:rPr>
          <w:sz w:val="24"/>
          <w:szCs w:val="24"/>
        </w:rPr>
        <w:t>”</w:t>
      </w:r>
    </w:p>
    <w:p w14:paraId="64C664B2" w14:textId="38C8FEF0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Policies need to contain the </w:t>
      </w:r>
      <w:r w:rsidR="00D6799D" w:rsidRPr="00CE603D">
        <w:rPr>
          <w:sz w:val="24"/>
          <w:szCs w:val="24"/>
        </w:rPr>
        <w:t>“</w:t>
      </w:r>
      <w:r w:rsidRPr="00CE603D">
        <w:rPr>
          <w:sz w:val="24"/>
          <w:szCs w:val="24"/>
        </w:rPr>
        <w:t>IMK</w:t>
      </w:r>
      <w:r w:rsidR="00D6799D" w:rsidRPr="00CE603D">
        <w:rPr>
          <w:sz w:val="24"/>
          <w:szCs w:val="24"/>
        </w:rPr>
        <w:t>”</w:t>
      </w:r>
      <w:r w:rsidRPr="00CE603D">
        <w:rPr>
          <w:sz w:val="24"/>
          <w:szCs w:val="24"/>
        </w:rPr>
        <w:t xml:space="preserve"> prefix and </w:t>
      </w:r>
      <w:r w:rsidR="00D6799D" w:rsidRPr="00CE603D">
        <w:rPr>
          <w:sz w:val="24"/>
          <w:szCs w:val="24"/>
        </w:rPr>
        <w:t>“</w:t>
      </w:r>
      <w:r w:rsidRPr="00CE603D">
        <w:rPr>
          <w:sz w:val="24"/>
          <w:szCs w:val="24"/>
        </w:rPr>
        <w:t>EB</w:t>
      </w:r>
      <w:r w:rsidR="00D6799D" w:rsidRPr="00CE603D">
        <w:rPr>
          <w:sz w:val="24"/>
          <w:szCs w:val="24"/>
        </w:rPr>
        <w:t>”</w:t>
      </w:r>
      <w:r w:rsidRPr="00CE603D">
        <w:rPr>
          <w:sz w:val="24"/>
          <w:szCs w:val="24"/>
        </w:rPr>
        <w:t xml:space="preserve"> at the end. </w:t>
      </w:r>
    </w:p>
    <w:p w14:paraId="2BC720FE" w14:textId="7229D41E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All </w:t>
      </w:r>
      <w:r w:rsidR="00D6799D" w:rsidRPr="00CE603D">
        <w:rPr>
          <w:sz w:val="24"/>
          <w:szCs w:val="24"/>
        </w:rPr>
        <w:t>“</w:t>
      </w:r>
      <w:r w:rsidRPr="00CE603D">
        <w:rPr>
          <w:sz w:val="24"/>
          <w:szCs w:val="24"/>
        </w:rPr>
        <w:t>IMKT915</w:t>
      </w:r>
      <w:r w:rsidR="00D6799D" w:rsidRPr="00CE603D">
        <w:rPr>
          <w:sz w:val="24"/>
          <w:szCs w:val="24"/>
        </w:rPr>
        <w:t>”</w:t>
      </w:r>
      <w:r w:rsidRPr="00CE603D">
        <w:rPr>
          <w:sz w:val="24"/>
          <w:szCs w:val="24"/>
        </w:rPr>
        <w:t xml:space="preserve"> policies are inactive as of 1</w:t>
      </w:r>
      <w:r w:rsidR="00D6799D" w:rsidRPr="00CE603D">
        <w:rPr>
          <w:sz w:val="24"/>
          <w:szCs w:val="24"/>
        </w:rPr>
        <w:t>/</w:t>
      </w:r>
      <w:r w:rsidRPr="00CE603D">
        <w:rPr>
          <w:sz w:val="24"/>
          <w:szCs w:val="24"/>
        </w:rPr>
        <w:t>1</w:t>
      </w:r>
      <w:r w:rsidR="00D6799D" w:rsidRPr="00CE603D">
        <w:rPr>
          <w:sz w:val="24"/>
          <w:szCs w:val="24"/>
        </w:rPr>
        <w:t>/</w:t>
      </w:r>
      <w:r w:rsidRPr="00CE603D">
        <w:rPr>
          <w:sz w:val="24"/>
          <w:szCs w:val="24"/>
        </w:rPr>
        <w:t>2023.</w:t>
      </w:r>
    </w:p>
    <w:p w14:paraId="53961A35" w14:textId="2F444836" w:rsidR="006270DC" w:rsidRPr="00CE603D" w:rsidRDefault="006270DC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Medicare:</w:t>
      </w:r>
    </w:p>
    <w:p w14:paraId="00A68A30" w14:textId="5F55BFC6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Medicare IME should only be used by the Admit Unit, never on </w:t>
      </w:r>
      <w:r w:rsidR="00201D8C" w:rsidRPr="00CE603D">
        <w:rPr>
          <w:sz w:val="24"/>
          <w:szCs w:val="24"/>
        </w:rPr>
        <w:t>o</w:t>
      </w:r>
      <w:r w:rsidRPr="00CE603D">
        <w:rPr>
          <w:sz w:val="24"/>
          <w:szCs w:val="24"/>
        </w:rPr>
        <w:t xml:space="preserve">utpatient </w:t>
      </w:r>
      <w:r w:rsidR="00201D8C" w:rsidRPr="00CE603D">
        <w:rPr>
          <w:sz w:val="24"/>
          <w:szCs w:val="24"/>
        </w:rPr>
        <w:t>l</w:t>
      </w:r>
      <w:r w:rsidRPr="00CE603D">
        <w:rPr>
          <w:sz w:val="24"/>
          <w:szCs w:val="24"/>
        </w:rPr>
        <w:t>ab encounters.</w:t>
      </w:r>
    </w:p>
    <w:p w14:paraId="10100D83" w14:textId="29BF5713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B</w:t>
      </w:r>
      <w:r w:rsidR="00F2048D" w:rsidRPr="00CE603D">
        <w:rPr>
          <w:sz w:val="24"/>
          <w:szCs w:val="24"/>
        </w:rPr>
        <w:t>lue Cross</w:t>
      </w:r>
      <w:r w:rsidRPr="00CE603D">
        <w:rPr>
          <w:sz w:val="24"/>
          <w:szCs w:val="24"/>
        </w:rPr>
        <w:t xml:space="preserve"> policy numbers beginning with CVM, DVM &amp; MEW are B</w:t>
      </w:r>
      <w:r w:rsidR="00F2048D" w:rsidRPr="00CE603D">
        <w:rPr>
          <w:sz w:val="24"/>
          <w:szCs w:val="24"/>
        </w:rPr>
        <w:t xml:space="preserve">lue </w:t>
      </w:r>
      <w:r w:rsidRPr="00CE603D">
        <w:rPr>
          <w:sz w:val="24"/>
          <w:szCs w:val="24"/>
        </w:rPr>
        <w:t>C</w:t>
      </w:r>
      <w:r w:rsidR="00F2048D" w:rsidRPr="00CE603D">
        <w:rPr>
          <w:sz w:val="24"/>
          <w:szCs w:val="24"/>
        </w:rPr>
        <w:t>ross</w:t>
      </w:r>
      <w:r w:rsidRPr="00CE603D">
        <w:rPr>
          <w:sz w:val="24"/>
          <w:szCs w:val="24"/>
        </w:rPr>
        <w:t xml:space="preserve"> Medicare Advantage plans</w:t>
      </w:r>
      <w:r w:rsidRPr="00CE603D">
        <w:rPr>
          <w:sz w:val="24"/>
          <w:szCs w:val="24"/>
        </w:rPr>
        <w:sym w:font="Wingdings" w:char="F0E0"/>
      </w:r>
      <w:r w:rsidRPr="00CE603D">
        <w:rPr>
          <w:sz w:val="24"/>
          <w:szCs w:val="24"/>
        </w:rPr>
        <w:t>Medicare Replacement and should not be allocated with Medicare A/B.</w:t>
      </w:r>
    </w:p>
    <w:p w14:paraId="52E3054D" w14:textId="4E965DE7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COB issues - Med</w:t>
      </w:r>
      <w:r w:rsidR="00F2048D" w:rsidRPr="00CE603D">
        <w:rPr>
          <w:sz w:val="24"/>
          <w:szCs w:val="24"/>
        </w:rPr>
        <w:t>icare</w:t>
      </w:r>
      <w:r w:rsidRPr="00CE603D">
        <w:rPr>
          <w:sz w:val="24"/>
          <w:szCs w:val="24"/>
        </w:rPr>
        <w:t xml:space="preserve"> B allocated before Med</w:t>
      </w:r>
      <w:r w:rsidR="00F2048D" w:rsidRPr="00CE603D">
        <w:rPr>
          <w:sz w:val="24"/>
          <w:szCs w:val="24"/>
        </w:rPr>
        <w:t>icare</w:t>
      </w:r>
      <w:r w:rsidRPr="00CE603D">
        <w:rPr>
          <w:sz w:val="24"/>
          <w:szCs w:val="24"/>
        </w:rPr>
        <w:t xml:space="preserve"> A, Med</w:t>
      </w:r>
      <w:r w:rsidR="00F2048D" w:rsidRPr="00CE603D">
        <w:rPr>
          <w:sz w:val="24"/>
          <w:szCs w:val="24"/>
        </w:rPr>
        <w:t>icare</w:t>
      </w:r>
      <w:r w:rsidRPr="00CE603D">
        <w:rPr>
          <w:sz w:val="24"/>
          <w:szCs w:val="24"/>
        </w:rPr>
        <w:t xml:space="preserve"> supplemental plans primary such as AARP. </w:t>
      </w:r>
    </w:p>
    <w:p w14:paraId="02F1AF7F" w14:textId="3EC92F51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Medicare A comes before Medicare B </w:t>
      </w:r>
    </w:p>
    <w:p w14:paraId="0E9B2448" w14:textId="70949651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Medicare Supplemental </w:t>
      </w:r>
      <w:r w:rsidR="00685E19" w:rsidRPr="00CE603D">
        <w:rPr>
          <w:sz w:val="24"/>
          <w:szCs w:val="24"/>
        </w:rPr>
        <w:t>plans, if</w:t>
      </w:r>
      <w:r w:rsidRPr="00CE603D">
        <w:rPr>
          <w:sz w:val="24"/>
          <w:szCs w:val="24"/>
        </w:rPr>
        <w:t xml:space="preserve"> any, come after Medicare A/B</w:t>
      </w:r>
    </w:p>
    <w:p w14:paraId="287869FC" w14:textId="782B2412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Mainecare, if any, come</w:t>
      </w:r>
      <w:r w:rsidR="004631AF" w:rsidRPr="00CE603D">
        <w:rPr>
          <w:sz w:val="24"/>
          <w:szCs w:val="24"/>
        </w:rPr>
        <w:t>s</w:t>
      </w:r>
      <w:r w:rsidRPr="00CE603D">
        <w:rPr>
          <w:sz w:val="24"/>
          <w:szCs w:val="24"/>
        </w:rPr>
        <w:t xml:space="preserve"> last</w:t>
      </w:r>
    </w:p>
    <w:p w14:paraId="6A4F2E7A" w14:textId="63B0C59B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Medicare A</w:t>
      </w:r>
      <w:r w:rsidR="00D6799D" w:rsidRPr="00CE603D">
        <w:rPr>
          <w:sz w:val="24"/>
          <w:szCs w:val="24"/>
        </w:rPr>
        <w:t>/</w:t>
      </w:r>
      <w:r w:rsidRPr="00CE603D">
        <w:rPr>
          <w:sz w:val="24"/>
          <w:szCs w:val="24"/>
        </w:rPr>
        <w:t xml:space="preserve">B allocated with Medicare Advantage Plan is not appropriate as it is considered “double </w:t>
      </w:r>
      <w:r w:rsidR="00685E19" w:rsidRPr="00CE603D">
        <w:rPr>
          <w:sz w:val="24"/>
          <w:szCs w:val="24"/>
        </w:rPr>
        <w:t>billing</w:t>
      </w:r>
      <w:r w:rsidRPr="00CE603D">
        <w:rPr>
          <w:sz w:val="24"/>
          <w:szCs w:val="24"/>
        </w:rPr>
        <w:t>”</w:t>
      </w:r>
    </w:p>
    <w:p w14:paraId="694C3C8B" w14:textId="0CC7BFBA" w:rsidR="006270DC" w:rsidRPr="00CE603D" w:rsidRDefault="006270DC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Medicare Advantage Plans replace Medicare A/B (Traditional Medicare)</w:t>
      </w:r>
    </w:p>
    <w:p w14:paraId="7AB6FC32" w14:textId="284F1020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Old Medicare A</w:t>
      </w:r>
      <w:r w:rsidR="00D6799D" w:rsidRPr="00CE603D">
        <w:rPr>
          <w:sz w:val="24"/>
          <w:szCs w:val="24"/>
        </w:rPr>
        <w:t>/B</w:t>
      </w:r>
      <w:r w:rsidRPr="00CE603D">
        <w:rPr>
          <w:sz w:val="24"/>
          <w:szCs w:val="24"/>
        </w:rPr>
        <w:t xml:space="preserve"> HIC numbers (SSN)</w:t>
      </w:r>
      <w:r w:rsidR="00F2048D" w:rsidRPr="00CE603D">
        <w:rPr>
          <w:sz w:val="24"/>
          <w:szCs w:val="24"/>
        </w:rPr>
        <w:t xml:space="preserve"> </w:t>
      </w:r>
      <w:r w:rsidRPr="00CE603D">
        <w:rPr>
          <w:sz w:val="24"/>
          <w:szCs w:val="24"/>
        </w:rPr>
        <w:t>need</w:t>
      </w:r>
      <w:r w:rsidR="00F2048D" w:rsidRPr="00CE603D">
        <w:rPr>
          <w:sz w:val="24"/>
          <w:szCs w:val="24"/>
        </w:rPr>
        <w:t xml:space="preserve"> to be updated to the</w:t>
      </w:r>
      <w:r w:rsidRPr="00CE603D">
        <w:rPr>
          <w:sz w:val="24"/>
          <w:szCs w:val="24"/>
        </w:rPr>
        <w:t xml:space="preserve"> new MBI </w:t>
      </w:r>
      <w:r w:rsidR="00B13647" w:rsidRPr="00CE603D">
        <w:rPr>
          <w:sz w:val="24"/>
          <w:szCs w:val="24"/>
        </w:rPr>
        <w:t>Alpha</w:t>
      </w:r>
      <w:r w:rsidR="00F2048D" w:rsidRPr="00CE603D">
        <w:rPr>
          <w:sz w:val="24"/>
          <w:szCs w:val="24"/>
        </w:rPr>
        <w:t xml:space="preserve"> </w:t>
      </w:r>
      <w:r w:rsidR="00B13647" w:rsidRPr="00CE603D">
        <w:rPr>
          <w:sz w:val="24"/>
          <w:szCs w:val="24"/>
        </w:rPr>
        <w:t>+ Numeric</w:t>
      </w:r>
      <w:r w:rsidR="00B13647" w:rsidRPr="00CE603D">
        <w:rPr>
          <w:sz w:val="24"/>
          <w:szCs w:val="24"/>
        </w:rPr>
        <w:tab/>
      </w:r>
    </w:p>
    <w:p w14:paraId="58F6105C" w14:textId="41153247" w:rsidR="006270DC" w:rsidRPr="00CE603D" w:rsidRDefault="006270DC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US Family Health, Veterans Administration or VACCN allocated with Me</w:t>
      </w:r>
      <w:r w:rsidR="00B13647" w:rsidRPr="00CE603D">
        <w:rPr>
          <w:sz w:val="24"/>
          <w:szCs w:val="24"/>
        </w:rPr>
        <w:t>dicare A/</w:t>
      </w:r>
      <w:r w:rsidRPr="00CE603D">
        <w:rPr>
          <w:sz w:val="24"/>
          <w:szCs w:val="24"/>
        </w:rPr>
        <w:t xml:space="preserve">B or Medicare </w:t>
      </w:r>
      <w:r w:rsidR="00B13647" w:rsidRPr="00CE603D">
        <w:rPr>
          <w:sz w:val="24"/>
          <w:szCs w:val="24"/>
        </w:rPr>
        <w:t>Advantage cannot b</w:t>
      </w:r>
      <w:r w:rsidRPr="00CE603D">
        <w:rPr>
          <w:sz w:val="24"/>
          <w:szCs w:val="24"/>
        </w:rPr>
        <w:t>e billed together.</w:t>
      </w:r>
    </w:p>
    <w:p w14:paraId="0F3F8916" w14:textId="77777777" w:rsidR="00E66302" w:rsidRPr="00CE603D" w:rsidRDefault="00E66302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Patient Employed or Retired:</w:t>
      </w:r>
    </w:p>
    <w:p w14:paraId="7A3E61F8" w14:textId="6137E1BE" w:rsidR="00B7232D" w:rsidRPr="00CE603D" w:rsidRDefault="00B7232D" w:rsidP="00E66302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If </w:t>
      </w:r>
      <w:r w:rsidR="00EE75BB" w:rsidRPr="00CE603D">
        <w:rPr>
          <w:sz w:val="24"/>
          <w:szCs w:val="24"/>
        </w:rPr>
        <w:t>the patient</w:t>
      </w:r>
      <w:r w:rsidRPr="00CE603D">
        <w:rPr>
          <w:sz w:val="24"/>
          <w:szCs w:val="24"/>
        </w:rPr>
        <w:t xml:space="preserve"> is still employed and has </w:t>
      </w:r>
      <w:r w:rsidR="00E66302" w:rsidRPr="00CE603D">
        <w:rPr>
          <w:sz w:val="24"/>
          <w:szCs w:val="24"/>
        </w:rPr>
        <w:t>Commercial</w:t>
      </w:r>
      <w:r w:rsidRPr="00CE603D">
        <w:rPr>
          <w:sz w:val="24"/>
          <w:szCs w:val="24"/>
        </w:rPr>
        <w:t xml:space="preserve"> Insurance </w:t>
      </w:r>
      <w:r w:rsidR="00E66302" w:rsidRPr="00CE603D">
        <w:rPr>
          <w:sz w:val="24"/>
          <w:szCs w:val="24"/>
        </w:rPr>
        <w:t>in addition to</w:t>
      </w:r>
      <w:r w:rsidRPr="00CE603D">
        <w:rPr>
          <w:sz w:val="24"/>
          <w:szCs w:val="24"/>
        </w:rPr>
        <w:t xml:space="preserve"> Medicare A/B, the Commercial Insurance is </w:t>
      </w:r>
      <w:r w:rsidR="00CE603D" w:rsidRPr="00CE603D">
        <w:rPr>
          <w:sz w:val="24"/>
          <w:szCs w:val="24"/>
        </w:rPr>
        <w:t>first,</w:t>
      </w:r>
      <w:r w:rsidRPr="00CE603D">
        <w:rPr>
          <w:sz w:val="24"/>
          <w:szCs w:val="24"/>
        </w:rPr>
        <w:t xml:space="preserve"> and Medicare will be secondary.</w:t>
      </w:r>
    </w:p>
    <w:p w14:paraId="60EAD0C9" w14:textId="1F5F30EC" w:rsidR="00E66302" w:rsidRPr="00CE603D" w:rsidRDefault="00E66302" w:rsidP="00E66302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lastRenderedPageBreak/>
        <w:t>If the patient is retired, then Medicare will be primary and Commercial Insurance will be secondary</w:t>
      </w:r>
    </w:p>
    <w:p w14:paraId="5C949EEF" w14:textId="2F030E69" w:rsidR="00EE75BB" w:rsidRPr="00CE603D" w:rsidRDefault="00EE75BB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There are times when the patient only has either Medicare A or Medicare B, verify in the HDX response:</w:t>
      </w:r>
    </w:p>
    <w:p w14:paraId="4DD68695" w14:textId="1D74169F" w:rsidR="00EE75BB" w:rsidRPr="00CE603D" w:rsidRDefault="00EE75BB" w:rsidP="00EE75BB">
      <w:pPr>
        <w:spacing w:before="240"/>
        <w:ind w:left="720"/>
        <w:jc w:val="center"/>
        <w:rPr>
          <w:sz w:val="24"/>
          <w:szCs w:val="24"/>
        </w:rPr>
      </w:pPr>
      <w:r w:rsidRPr="00CE603D">
        <w:rPr>
          <w:noProof/>
          <w:sz w:val="24"/>
          <w:szCs w:val="24"/>
        </w:rPr>
        <w:drawing>
          <wp:inline distT="0" distB="0" distL="0" distR="0" wp14:anchorId="09948338" wp14:editId="30DF96B8">
            <wp:extent cx="3124200" cy="1557265"/>
            <wp:effectExtent l="0" t="0" r="0" b="5080"/>
            <wp:docPr id="13723877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8777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0433" cy="157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6D222" w14:textId="47C66238" w:rsidR="00B13647" w:rsidRPr="00CE603D" w:rsidRDefault="00B13647" w:rsidP="00B13647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Blank Medicare HMO/ other plan allocated - these are created by HDX when Medicare A/B eligibility is run and patient has a Med Advantage - these should be deleted if not being used the day it is created or if found after, a coverage period </w:t>
      </w:r>
      <w:r w:rsidR="00F2048D" w:rsidRPr="00CE603D">
        <w:rPr>
          <w:sz w:val="24"/>
          <w:szCs w:val="24"/>
        </w:rPr>
        <w:t>to</w:t>
      </w:r>
      <w:r w:rsidRPr="00CE603D">
        <w:rPr>
          <w:sz w:val="24"/>
          <w:szCs w:val="24"/>
        </w:rPr>
        <w:t xml:space="preserve"> Date of Yesterday added and unallocated from the encounter.</w:t>
      </w:r>
    </w:p>
    <w:p w14:paraId="2974E159" w14:textId="3B100E74" w:rsidR="001941FD" w:rsidRPr="00CE603D" w:rsidRDefault="001941FD" w:rsidP="001941FD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Blue Cross Blue Shield</w:t>
      </w:r>
    </w:p>
    <w:p w14:paraId="4B1D036E" w14:textId="4AF87FD1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Both VNC &amp; VND are Medicare Supplemental Plans and should not be allocated as primary or alone.  </w:t>
      </w:r>
    </w:p>
    <w:p w14:paraId="3319689B" w14:textId="02220820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 Either Medicare A/B should be allocated first. </w:t>
      </w:r>
    </w:p>
    <w:p w14:paraId="70CECD62" w14:textId="77777777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VNC should be created as a BC Maine plan.  </w:t>
      </w:r>
    </w:p>
    <w:p w14:paraId="37469E67" w14:textId="48AA28F4" w:rsidR="001941FD" w:rsidRPr="00CE603D" w:rsidRDefault="001941FD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VND should be created as BC Out of State.</w:t>
      </w:r>
    </w:p>
    <w:p w14:paraId="38FD2BE9" w14:textId="7194A7E2" w:rsidR="003F1F42" w:rsidRPr="00CE603D" w:rsidRDefault="003F1F42" w:rsidP="001941FD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All Federal BC policy numbers begin with an R then all numbers</w:t>
      </w:r>
      <w:r w:rsidR="00F22DE9">
        <w:rPr>
          <w:sz w:val="24"/>
          <w:szCs w:val="24"/>
        </w:rPr>
        <w:t>:</w:t>
      </w:r>
      <w:r w:rsidRPr="00CE603D">
        <w:rPr>
          <w:sz w:val="24"/>
          <w:szCs w:val="24"/>
        </w:rPr>
        <w:t xml:space="preserve"> R1245648125.</w:t>
      </w:r>
    </w:p>
    <w:p w14:paraId="08A044A5" w14:textId="77777777" w:rsidR="003F1F42" w:rsidRPr="00CE603D" w:rsidRDefault="003F1F42" w:rsidP="003F1F42">
      <w:pPr>
        <w:pStyle w:val="ListParagraph"/>
        <w:spacing w:before="240"/>
        <w:ind w:left="1440"/>
        <w:rPr>
          <w:sz w:val="24"/>
          <w:szCs w:val="24"/>
        </w:rPr>
      </w:pPr>
    </w:p>
    <w:p w14:paraId="39581902" w14:textId="77777777" w:rsidR="00685E19" w:rsidRPr="00CE603D" w:rsidRDefault="00685E19" w:rsidP="00EE75BB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  <w:u w:val="single"/>
        </w:rPr>
      </w:pPr>
      <w:r w:rsidRPr="00CE603D">
        <w:rPr>
          <w:b/>
          <w:bCs/>
          <w:sz w:val="24"/>
          <w:szCs w:val="24"/>
          <w:u w:val="single"/>
        </w:rPr>
        <w:t>Tricare:</w:t>
      </w:r>
    </w:p>
    <w:p w14:paraId="5C53AB40" w14:textId="1408A89E" w:rsidR="00685E19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Tricare for Life is a Medicare </w:t>
      </w:r>
      <w:r w:rsidR="009E4DDD" w:rsidRPr="00CE603D">
        <w:rPr>
          <w:sz w:val="24"/>
          <w:szCs w:val="24"/>
        </w:rPr>
        <w:t>S</w:t>
      </w:r>
      <w:r w:rsidRPr="00CE603D">
        <w:rPr>
          <w:sz w:val="24"/>
          <w:szCs w:val="24"/>
        </w:rPr>
        <w:t xml:space="preserve">upplemental </w:t>
      </w:r>
      <w:r w:rsidR="009E4DDD" w:rsidRPr="00CE603D">
        <w:rPr>
          <w:sz w:val="24"/>
          <w:szCs w:val="24"/>
        </w:rPr>
        <w:t>P</w:t>
      </w:r>
      <w:r w:rsidRPr="00CE603D">
        <w:rPr>
          <w:sz w:val="24"/>
          <w:szCs w:val="24"/>
        </w:rPr>
        <w:t>lan and should not be Primary, either Medicare A/B or a Medicare Advantage plan</w:t>
      </w:r>
      <w:r w:rsidR="00B665C6">
        <w:rPr>
          <w:sz w:val="24"/>
          <w:szCs w:val="24"/>
        </w:rPr>
        <w:t xml:space="preserve"> (exception to the rule)</w:t>
      </w:r>
      <w:r w:rsidRPr="00CE603D">
        <w:rPr>
          <w:sz w:val="24"/>
          <w:szCs w:val="24"/>
        </w:rPr>
        <w:t xml:space="preserve"> should be allocated first.  </w:t>
      </w:r>
    </w:p>
    <w:p w14:paraId="10DDA67F" w14:textId="5AFF0E92" w:rsidR="00685E19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Tricare East should not be allocated with Medicare A/B or a Med Advantage Plan - it transitions to Tricare for Life when the patient becomes eligible for Medicare.</w:t>
      </w:r>
    </w:p>
    <w:p w14:paraId="5216C15B" w14:textId="77777777" w:rsidR="00685E19" w:rsidRPr="00CE603D" w:rsidRDefault="00685E19" w:rsidP="00EE75BB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Review all Tricare West payer health plans as Tricare East is the local administrator for the East. </w:t>
      </w:r>
    </w:p>
    <w:p w14:paraId="22490D5C" w14:textId="05DEDED2" w:rsidR="00685E19" w:rsidRPr="00CE603D" w:rsidRDefault="00685E19" w:rsidP="00EE75BB">
      <w:pPr>
        <w:pStyle w:val="ListParagraph"/>
        <w:numPr>
          <w:ilvl w:val="2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The HDX response will say East or West.</w:t>
      </w:r>
    </w:p>
    <w:p w14:paraId="07C2858B" w14:textId="296A989E" w:rsidR="00BA69D5" w:rsidRPr="00CE603D" w:rsidRDefault="00685E19" w:rsidP="00BA69D5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 xml:space="preserve">Tricare and US Family Health, Veterans Admin, VACCN </w:t>
      </w:r>
      <w:r w:rsidR="00C623E3" w:rsidRPr="00CE603D">
        <w:rPr>
          <w:sz w:val="24"/>
          <w:szCs w:val="24"/>
        </w:rPr>
        <w:t>cannot</w:t>
      </w:r>
      <w:r w:rsidRPr="00CE603D">
        <w:rPr>
          <w:sz w:val="24"/>
          <w:szCs w:val="24"/>
        </w:rPr>
        <w:t xml:space="preserve"> be billed together - this is “double billing.”</w:t>
      </w:r>
    </w:p>
    <w:p w14:paraId="62EB0D4A" w14:textId="7634DF3E" w:rsidR="00C623E3" w:rsidRPr="00CE603D" w:rsidRDefault="00C623E3" w:rsidP="00C623E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Government Employees Health Association (GEHA)</w:t>
      </w:r>
    </w:p>
    <w:p w14:paraId="6FA2C6F9" w14:textId="630B76FA" w:rsidR="00C623E3" w:rsidRPr="00CE603D" w:rsidRDefault="00C623E3" w:rsidP="00C623E3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GEHA is a secondary insurance.</w:t>
      </w:r>
    </w:p>
    <w:p w14:paraId="5ABBCE3B" w14:textId="486EFAA9" w:rsidR="003F1F42" w:rsidRPr="00CE603D" w:rsidRDefault="00C623E3" w:rsidP="003F1F42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GEHA ASA is a primary insurance for people from the Northeast.</w:t>
      </w:r>
    </w:p>
    <w:p w14:paraId="2E7FE22F" w14:textId="0AB53EB0" w:rsidR="003F1F42" w:rsidRPr="00CE603D" w:rsidRDefault="003F1F42" w:rsidP="003F1F42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CE603D">
        <w:rPr>
          <w:b/>
          <w:bCs/>
          <w:sz w:val="24"/>
          <w:szCs w:val="24"/>
          <w:u w:val="single"/>
        </w:rPr>
        <w:t>Worker’s Comp</w:t>
      </w:r>
      <w:r w:rsidR="00FC17D7">
        <w:rPr>
          <w:b/>
          <w:bCs/>
          <w:sz w:val="24"/>
          <w:szCs w:val="24"/>
          <w:u w:val="single"/>
        </w:rPr>
        <w:t>/Nursing Home</w:t>
      </w:r>
    </w:p>
    <w:p w14:paraId="4EA1BCCB" w14:textId="3C2DDB73" w:rsidR="003F1F42" w:rsidRPr="00CE603D" w:rsidRDefault="003F1F42" w:rsidP="003F1F42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CE603D">
        <w:rPr>
          <w:sz w:val="24"/>
          <w:szCs w:val="24"/>
        </w:rPr>
        <w:t>Workplace Health &amp; Nursing Home Policy number should be the patient's Social Security Number (D</w:t>
      </w:r>
      <w:r w:rsidR="00E96DD1">
        <w:rPr>
          <w:sz w:val="24"/>
          <w:szCs w:val="24"/>
        </w:rPr>
        <w:t>o n</w:t>
      </w:r>
      <w:r w:rsidRPr="00CE603D">
        <w:rPr>
          <w:sz w:val="24"/>
          <w:szCs w:val="24"/>
        </w:rPr>
        <w:t xml:space="preserve">ot </w:t>
      </w:r>
      <w:r w:rsidR="00E96DD1">
        <w:rPr>
          <w:sz w:val="24"/>
          <w:szCs w:val="24"/>
        </w:rPr>
        <w:t>u</w:t>
      </w:r>
      <w:r w:rsidRPr="00CE603D">
        <w:rPr>
          <w:sz w:val="24"/>
          <w:szCs w:val="24"/>
        </w:rPr>
        <w:t>se xxx-xx-0011) or NONE if the patient refuses to provide it.</w:t>
      </w:r>
    </w:p>
    <w:p w14:paraId="682EF1CA" w14:textId="6D86BDD1" w:rsidR="00E66302" w:rsidRPr="00DC6E2F" w:rsidRDefault="00E66302" w:rsidP="003B6087">
      <w:pPr>
        <w:spacing w:after="0"/>
        <w:jc w:val="center"/>
        <w:rPr>
          <w:b/>
          <w:bCs/>
        </w:rPr>
      </w:pPr>
      <w:r w:rsidRPr="00DC6E2F">
        <w:rPr>
          <w:b/>
          <w:bCs/>
        </w:rPr>
        <w:lastRenderedPageBreak/>
        <w:t>How to differentiate between a Medicare Advantage/Replacement and Medicare Supplemental plans</w:t>
      </w:r>
    </w:p>
    <w:p w14:paraId="5E6335DD" w14:textId="77777777" w:rsidR="004D1EFA" w:rsidRPr="00CE603D" w:rsidRDefault="004A3C27" w:rsidP="003B6087">
      <w:pPr>
        <w:spacing w:after="0"/>
        <w:rPr>
          <w:sz w:val="24"/>
          <w:szCs w:val="24"/>
        </w:rPr>
      </w:pPr>
      <w:r w:rsidRPr="00CE603D">
        <w:rPr>
          <w:sz w:val="24"/>
          <w:szCs w:val="24"/>
        </w:rPr>
        <w:t>If user clicks on “Order Policies for a Patient or Encounter,” the Product Line</w:t>
      </w:r>
      <w:r w:rsidR="00680D6E" w:rsidRPr="00CE603D">
        <w:rPr>
          <w:sz w:val="24"/>
          <w:szCs w:val="24"/>
        </w:rPr>
        <w:t xml:space="preserve"> or Payer/Health Plan column</w:t>
      </w:r>
      <w:r w:rsidRPr="00CE603D">
        <w:rPr>
          <w:sz w:val="24"/>
          <w:szCs w:val="24"/>
        </w:rPr>
        <w:t xml:space="preserve"> will indicate what type of insurance the plan is:</w:t>
      </w:r>
    </w:p>
    <w:p w14:paraId="5249182E" w14:textId="61A76B42" w:rsidR="00680D6E" w:rsidRPr="00CE603D" w:rsidRDefault="00835FDE" w:rsidP="004D1EFA">
      <w:pPr>
        <w:spacing w:before="240"/>
        <w:jc w:val="center"/>
        <w:rPr>
          <w:sz w:val="24"/>
          <w:szCs w:val="24"/>
        </w:rPr>
      </w:pPr>
      <w:r w:rsidRPr="00835FDE">
        <w:rPr>
          <w:noProof/>
          <w:sz w:val="24"/>
          <w:szCs w:val="24"/>
        </w:rPr>
        <w:drawing>
          <wp:inline distT="0" distB="0" distL="0" distR="0" wp14:anchorId="3AB97E5A" wp14:editId="3656ED7B">
            <wp:extent cx="4154161" cy="2487881"/>
            <wp:effectExtent l="0" t="0" r="0" b="8255"/>
            <wp:docPr id="25675443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4437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4046" cy="24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FDE">
        <w:rPr>
          <w:noProof/>
          <w:sz w:val="24"/>
          <w:szCs w:val="24"/>
        </w:rPr>
        <w:drawing>
          <wp:inline distT="0" distB="0" distL="0" distR="0" wp14:anchorId="5EFEEC25" wp14:editId="3BF044F1">
            <wp:extent cx="4170298" cy="2472446"/>
            <wp:effectExtent l="0" t="0" r="1905" b="4445"/>
            <wp:docPr id="10249177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1774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2052" cy="24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FDE">
        <w:rPr>
          <w:noProof/>
          <w:sz w:val="24"/>
          <w:szCs w:val="24"/>
        </w:rPr>
        <w:drawing>
          <wp:inline distT="0" distB="0" distL="0" distR="0" wp14:anchorId="6ECAAB0D" wp14:editId="0C48A0BF">
            <wp:extent cx="4211959" cy="2524836"/>
            <wp:effectExtent l="0" t="0" r="0" b="8890"/>
            <wp:docPr id="61691403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14032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11" cy="252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D6E" w:rsidRPr="00CE603D" w:rsidSect="004D1EFA">
      <w:headerReference w:type="default" r:id="rId12"/>
      <w:footerReference w:type="default" r:id="rId1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B022" w14:textId="77777777" w:rsidR="00F37BB8" w:rsidRDefault="00F37BB8" w:rsidP="004631AF">
      <w:pPr>
        <w:spacing w:after="0" w:line="240" w:lineRule="auto"/>
      </w:pPr>
      <w:r>
        <w:separator/>
      </w:r>
    </w:p>
  </w:endnote>
  <w:endnote w:type="continuationSeparator" w:id="0">
    <w:p w14:paraId="6D483E5B" w14:textId="77777777" w:rsidR="00F37BB8" w:rsidRDefault="00F37BB8" w:rsidP="0046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003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CC1BF" w14:textId="259B43A8" w:rsidR="007E1F6A" w:rsidRDefault="007E1F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546253" w14:textId="77777777" w:rsidR="007E1F6A" w:rsidRDefault="007E1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2F4E" w14:textId="77777777" w:rsidR="00F37BB8" w:rsidRDefault="00F37BB8" w:rsidP="004631AF">
      <w:pPr>
        <w:spacing w:after="0" w:line="240" w:lineRule="auto"/>
      </w:pPr>
      <w:r>
        <w:separator/>
      </w:r>
    </w:p>
  </w:footnote>
  <w:footnote w:type="continuationSeparator" w:id="0">
    <w:p w14:paraId="1E03C057" w14:textId="77777777" w:rsidR="00F37BB8" w:rsidRDefault="00F37BB8" w:rsidP="0046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325A" w14:textId="07C4CD70" w:rsidR="004631AF" w:rsidRDefault="004631AF" w:rsidP="004631AF">
    <w:pPr>
      <w:pStyle w:val="Header"/>
      <w:jc w:val="center"/>
    </w:pPr>
    <w:r>
      <w:rPr>
        <w:rFonts w:ascii="Berlin Sans FB Demi" w:hAnsi="Berlin Sans FB Demi"/>
        <w:noProof/>
        <w:color w:val="993300"/>
        <w:sz w:val="24"/>
        <w:szCs w:val="24"/>
      </w:rPr>
      <w:drawing>
        <wp:anchor distT="0" distB="0" distL="114300" distR="114300" simplePos="0" relativeHeight="251658240" behindDoc="1" locked="0" layoutInCell="1" allowOverlap="1" wp14:anchorId="45679F6D" wp14:editId="70A90CB3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476375" cy="440690"/>
          <wp:effectExtent l="0" t="0" r="9525" b="0"/>
          <wp:wrapTight wrapText="bothSides">
            <wp:wrapPolygon edited="0">
              <wp:start x="0" y="0"/>
              <wp:lineTo x="0" y="20542"/>
              <wp:lineTo x="21461" y="20542"/>
              <wp:lineTo x="21461" y="0"/>
              <wp:lineTo x="0" y="0"/>
            </wp:wrapPolygon>
          </wp:wrapTight>
          <wp:docPr id="1261786002" name="Picture 1" descr="Description: MGMC 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escription: MGMC emai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B232F" w14:textId="77777777" w:rsidR="004631AF" w:rsidRPr="004811B0" w:rsidRDefault="004631AF" w:rsidP="004631AF">
    <w:pPr>
      <w:pStyle w:val="Header"/>
      <w:jc w:val="center"/>
      <w:rPr>
        <w:sz w:val="14"/>
        <w:szCs w:val="14"/>
      </w:rPr>
    </w:pPr>
  </w:p>
  <w:p w14:paraId="36C4072B" w14:textId="749A00AD" w:rsidR="004631AF" w:rsidRPr="004631AF" w:rsidRDefault="004631AF" w:rsidP="004631AF">
    <w:pPr>
      <w:jc w:val="center"/>
      <w:rPr>
        <w:color w:val="0B769F" w:themeColor="accent4" w:themeShade="BF"/>
      </w:rPr>
    </w:pPr>
    <w:r w:rsidRPr="004631AF">
      <w:rPr>
        <w:b/>
        <w:bCs/>
        <w:color w:val="0B769F" w:themeColor="accent4" w:themeShade="BF"/>
        <w:sz w:val="32"/>
        <w:szCs w:val="32"/>
      </w:rPr>
      <w:t>Allocation Best Practices and Tips</w:t>
    </w:r>
    <w:r w:rsidR="006339FC">
      <w:rPr>
        <w:b/>
        <w:bCs/>
        <w:color w:val="0B769F" w:themeColor="accent4" w:themeShade="BF"/>
        <w:sz w:val="32"/>
        <w:szCs w:val="32"/>
      </w:rPr>
      <w:t xml:space="preserve"> (Laboratory)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05BFD"/>
    <w:multiLevelType w:val="hybridMultilevel"/>
    <w:tmpl w:val="E0FA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DC"/>
    <w:rsid w:val="00006DB1"/>
    <w:rsid w:val="0007312F"/>
    <w:rsid w:val="00103CE7"/>
    <w:rsid w:val="00126EB3"/>
    <w:rsid w:val="00192275"/>
    <w:rsid w:val="001941FD"/>
    <w:rsid w:val="001E0913"/>
    <w:rsid w:val="00201D8C"/>
    <w:rsid w:val="002C0612"/>
    <w:rsid w:val="002C3C1D"/>
    <w:rsid w:val="0038282E"/>
    <w:rsid w:val="003B6087"/>
    <w:rsid w:val="003F1F42"/>
    <w:rsid w:val="00416E2E"/>
    <w:rsid w:val="004631AF"/>
    <w:rsid w:val="00476AA8"/>
    <w:rsid w:val="004811B0"/>
    <w:rsid w:val="00486A04"/>
    <w:rsid w:val="00492016"/>
    <w:rsid w:val="004A3C27"/>
    <w:rsid w:val="004D1EFA"/>
    <w:rsid w:val="00563105"/>
    <w:rsid w:val="006270DC"/>
    <w:rsid w:val="006339FC"/>
    <w:rsid w:val="006804E2"/>
    <w:rsid w:val="00680D6E"/>
    <w:rsid w:val="00685E19"/>
    <w:rsid w:val="006F4574"/>
    <w:rsid w:val="007701CD"/>
    <w:rsid w:val="007E1F6A"/>
    <w:rsid w:val="00803E6E"/>
    <w:rsid w:val="00835FDE"/>
    <w:rsid w:val="00935649"/>
    <w:rsid w:val="00951351"/>
    <w:rsid w:val="009809F4"/>
    <w:rsid w:val="009E4DDD"/>
    <w:rsid w:val="00A46D65"/>
    <w:rsid w:val="00A72992"/>
    <w:rsid w:val="00A759B5"/>
    <w:rsid w:val="00AD0E4B"/>
    <w:rsid w:val="00AD285F"/>
    <w:rsid w:val="00B13647"/>
    <w:rsid w:val="00B665C6"/>
    <w:rsid w:val="00B7232D"/>
    <w:rsid w:val="00BA69D5"/>
    <w:rsid w:val="00BC5F94"/>
    <w:rsid w:val="00BD6AA5"/>
    <w:rsid w:val="00C061AF"/>
    <w:rsid w:val="00C575CA"/>
    <w:rsid w:val="00C623E3"/>
    <w:rsid w:val="00CE603D"/>
    <w:rsid w:val="00D37C66"/>
    <w:rsid w:val="00D6799D"/>
    <w:rsid w:val="00DA4FE3"/>
    <w:rsid w:val="00DC6E2F"/>
    <w:rsid w:val="00DE395E"/>
    <w:rsid w:val="00DF22AF"/>
    <w:rsid w:val="00E13519"/>
    <w:rsid w:val="00E4586C"/>
    <w:rsid w:val="00E55EB2"/>
    <w:rsid w:val="00E66302"/>
    <w:rsid w:val="00E6758B"/>
    <w:rsid w:val="00E96DD1"/>
    <w:rsid w:val="00EE75BB"/>
    <w:rsid w:val="00F2048D"/>
    <w:rsid w:val="00F22DE9"/>
    <w:rsid w:val="00F37BB8"/>
    <w:rsid w:val="00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6785"/>
  <w15:chartTrackingRefBased/>
  <w15:docId w15:val="{96FD07D6-7C41-419A-AA43-F0529F8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0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AF"/>
  </w:style>
  <w:style w:type="paragraph" w:styleId="Footer">
    <w:name w:val="footer"/>
    <w:basedOn w:val="Normal"/>
    <w:link w:val="FooterChar"/>
    <w:uiPriority w:val="99"/>
    <w:unhideWhenUsed/>
    <w:rsid w:val="00463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F862.52D1B71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EC55-E205-47E5-B367-043F94F6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Whitney</dc:creator>
  <cp:keywords/>
  <dc:description/>
  <cp:lastModifiedBy>Beal, Whitney</cp:lastModifiedBy>
  <cp:revision>6</cp:revision>
  <cp:lastPrinted>2024-08-30T17:37:00Z</cp:lastPrinted>
  <dcterms:created xsi:type="dcterms:W3CDTF">2024-08-30T17:38:00Z</dcterms:created>
  <dcterms:modified xsi:type="dcterms:W3CDTF">2026-05-21T18:44:00Z</dcterms:modified>
</cp:coreProperties>
</file>